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17"/>
        <w:jc w:val="center"/>
      </w:pPr>
      <w:r>
        <w:rPr>
          <w:b/>
          <w:sz w:val="28"/>
          <w:szCs w:val="28"/>
        </w:rPr>
        <w:t>Памятка пациента</w:t>
      </w:r>
    </w:p>
    <w:p>
      <w:pPr>
        <w:pStyle w:val="style17"/>
        <w:jc w:val="center"/>
      </w:pPr>
      <w:r>
        <w:rPr>
          <w:sz w:val="28"/>
          <w:szCs w:val="28"/>
        </w:rPr>
        <w:t> </w:t>
      </w:r>
    </w:p>
    <w:p>
      <w:pPr>
        <w:pStyle w:val="style17"/>
        <w:jc w:val="center"/>
      </w:pPr>
      <w:r>
        <w:rPr>
          <w:b/>
          <w:sz w:val="28"/>
          <w:szCs w:val="28"/>
        </w:rPr>
        <w:t>Права и обязанности граждан в сфере охраны здоровья</w:t>
      </w:r>
    </w:p>
    <w:p>
      <w:pPr>
        <w:pStyle w:val="style17"/>
        <w:jc w:val="both"/>
      </w:pPr>
      <w:r>
        <w:rPr>
          <w:sz w:val="28"/>
          <w:szCs w:val="28"/>
        </w:rPr>
        <w:t>Права граждан в области охраны здоровья закреплены в части 1 статьи 41 Конституции Российской Федерации:</w:t>
      </w:r>
    </w:p>
    <w:p>
      <w:pPr>
        <w:pStyle w:val="style17"/>
        <w:jc w:val="both"/>
      </w:pPr>
      <w:r>
        <w:rPr>
          <w:sz w:val="28"/>
          <w:szCs w:val="28"/>
        </w:rPr>
        <w:t>«Каждый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бесплатно за счет средств соответствующего бюджета, страховых взносов, других поступлений».</w:t>
      </w:r>
    </w:p>
    <w:p>
      <w:pPr>
        <w:pStyle w:val="style17"/>
        <w:jc w:val="both"/>
      </w:pPr>
      <w:r>
        <w:rPr>
          <w:sz w:val="28"/>
          <w:szCs w:val="28"/>
        </w:rPr>
        <w:t>В главе 2 ст. 4 Федерального Закона Российской Федерации от 21 ноября 2011 года № 323-ФЗ «Об основах охраны здоровья граждан в Российской Федерации» одним из основных принципов охраны здоровья определено «соблюдение прав  граждан в сфере охраны здоровья и обеспеченияе связанных с этими правами государственных гарантий»</w:t>
      </w:r>
    </w:p>
    <w:p>
      <w:pPr>
        <w:pStyle w:val="style17"/>
        <w:jc w:val="both"/>
      </w:pPr>
      <w:r>
        <w:rPr>
          <w:sz w:val="28"/>
          <w:szCs w:val="28"/>
        </w:rPr>
        <w:t xml:space="preserve">В главе 4 Федерального Закона Российской Федерации от 21 ноября 2011года №323-ФЗ «Об основах охраны здоровья граждан в Российской Федерации», определены </w:t>
      </w:r>
    </w:p>
    <w:p>
      <w:pPr>
        <w:pStyle w:val="style17"/>
        <w:jc w:val="both"/>
      </w:pPr>
      <w:r>
        <w:rPr>
          <w:b/>
          <w:sz w:val="28"/>
          <w:szCs w:val="28"/>
        </w:rPr>
        <w:t>Права и обязанности граждан в сфере охраны здоровья</w:t>
      </w:r>
      <w:r>
        <w:rPr>
          <w:sz w:val="28"/>
          <w:szCs w:val="28"/>
        </w:rPr>
        <w:t>,  в том числе:</w:t>
      </w:r>
    </w:p>
    <w:p>
      <w:pPr>
        <w:pStyle w:val="style17"/>
        <w:jc w:val="both"/>
      </w:pPr>
      <w:r>
        <w:rPr>
          <w:sz w:val="28"/>
          <w:szCs w:val="28"/>
        </w:rPr>
        <w:t>ст. 18 Право на охрану здоровья,</w:t>
      </w:r>
    </w:p>
    <w:p>
      <w:pPr>
        <w:pStyle w:val="style17"/>
        <w:jc w:val="both"/>
      </w:pPr>
      <w:r>
        <w:rPr>
          <w:sz w:val="28"/>
          <w:szCs w:val="28"/>
        </w:rPr>
        <w:t>ст. 19 Право на медицинскую помощь,</w:t>
      </w:r>
    </w:p>
    <w:p>
      <w:pPr>
        <w:pStyle w:val="style17"/>
        <w:jc w:val="both"/>
      </w:pPr>
      <w:r>
        <w:rPr>
          <w:sz w:val="28"/>
          <w:szCs w:val="28"/>
        </w:rPr>
        <w:t>ст. 20 Информированное добровольное согласие на медицинское вмешательство и на отказ от медицинского вмешательства,</w:t>
      </w:r>
    </w:p>
    <w:p>
      <w:pPr>
        <w:pStyle w:val="style17"/>
        <w:jc w:val="both"/>
      </w:pPr>
      <w:r>
        <w:rPr>
          <w:sz w:val="28"/>
          <w:szCs w:val="28"/>
        </w:rPr>
        <w:t>ст. 21 Выбор врача и медицинской организации,</w:t>
      </w:r>
    </w:p>
    <w:p>
      <w:pPr>
        <w:pStyle w:val="style17"/>
        <w:jc w:val="both"/>
      </w:pPr>
      <w:r>
        <w:rPr>
          <w:sz w:val="28"/>
          <w:szCs w:val="28"/>
        </w:rPr>
        <w:t>ст. 22 Информация о состоянии здоровья,</w:t>
      </w:r>
    </w:p>
    <w:p>
      <w:pPr>
        <w:pStyle w:val="style17"/>
        <w:jc w:val="both"/>
      </w:pPr>
      <w:r>
        <w:rPr>
          <w:sz w:val="28"/>
          <w:szCs w:val="28"/>
        </w:rPr>
        <w:t>ст. 23 Информация о факторах, влияющих на здоровье,</w:t>
      </w:r>
    </w:p>
    <w:p>
      <w:pPr>
        <w:pStyle w:val="style17"/>
        <w:jc w:val="both"/>
      </w:pPr>
      <w:r>
        <w:rPr>
          <w:sz w:val="28"/>
          <w:szCs w:val="28"/>
        </w:rPr>
        <w:t>ст. 24 Права работников, занятых на отдельных видах работ, на охрану здоровья,</w:t>
      </w:r>
    </w:p>
    <w:p>
      <w:pPr>
        <w:pStyle w:val="style17"/>
        <w:jc w:val="both"/>
      </w:pPr>
      <w:r>
        <w:rPr>
          <w:sz w:val="28"/>
          <w:szCs w:val="28"/>
        </w:rPr>
        <w:t>ст. 25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службу(направляемых на альтернативную гражданскую службу), и граждан, поступающих на военную службу или приравненную к службу по контракту, на охрану здоровья,</w:t>
      </w:r>
    </w:p>
    <w:p>
      <w:pPr>
        <w:pStyle w:val="style17"/>
        <w:jc w:val="both"/>
      </w:pPr>
      <w:r>
        <w:rPr>
          <w:sz w:val="28"/>
          <w:szCs w:val="28"/>
        </w:rPr>
        <w:t>ст. 26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помощи,</w:t>
      </w:r>
    </w:p>
    <w:p>
      <w:pPr>
        <w:pStyle w:val="style17"/>
        <w:jc w:val="both"/>
      </w:pPr>
      <w:r>
        <w:rPr>
          <w:sz w:val="28"/>
          <w:szCs w:val="28"/>
        </w:rPr>
        <w:t>ст. 27 Обязанности граждан в сфере охраны здоровья,</w:t>
      </w:r>
    </w:p>
    <w:p>
      <w:pPr>
        <w:pStyle w:val="style17"/>
        <w:jc w:val="both"/>
      </w:pPr>
      <w:r>
        <w:rPr>
          <w:sz w:val="28"/>
          <w:szCs w:val="28"/>
        </w:rPr>
        <w:t>ст. 28 Общественные объединения по защите прав граждан в сфере охраны здоровья.</w:t>
      </w:r>
    </w:p>
    <w:p>
      <w:pPr>
        <w:pStyle w:val="style17"/>
        <w:jc w:val="both"/>
      </w:pPr>
      <w:r>
        <w:rPr>
          <w:b/>
          <w:sz w:val="28"/>
          <w:szCs w:val="28"/>
        </w:rPr>
        <w:t>Права и обязанности застрахованных граждан</w:t>
      </w:r>
      <w:r>
        <w:rPr>
          <w:sz w:val="28"/>
          <w:szCs w:val="28"/>
        </w:rPr>
        <w:t xml:space="preserve"> определены Федеральным Законом Российской Федерации от  29 ноября 2010 года «Об обязательном медицинском страховании в Российской Федерации», </w:t>
      </w:r>
    </w:p>
    <w:p>
      <w:pPr>
        <w:pStyle w:val="style0"/>
      </w:pPr>
      <w:r>
        <w:rPr>
          <w:sz w:val="28"/>
          <w:szCs w:val="28"/>
        </w:rPr>
        <w:t>в статье 16 «Права и обязанности застрахованных лиц», согласно которого застрахованные лица имеют право на бесплатное оказание им медицинской помощи медицинскими организациями при наступлении страхового случая:</w:t>
      </w:r>
    </w:p>
    <w:p>
      <w:pPr>
        <w:pStyle w:val="style17"/>
        <w:jc w:val="both"/>
      </w:pPr>
      <w:r>
        <w:rPr>
          <w:sz w:val="28"/>
          <w:szCs w:val="28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>
      <w:pPr>
        <w:pStyle w:val="style17"/>
        <w:jc w:val="both"/>
      </w:pPr>
      <w:r>
        <w:rPr>
          <w:sz w:val="28"/>
          <w:szCs w:val="28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страхования.</w:t>
      </w:r>
    </w:p>
    <w:p>
      <w:pPr>
        <w:pStyle w:val="style17"/>
        <w:jc w:val="both"/>
      </w:pPr>
      <w:r>
        <w:rPr>
          <w:sz w:val="28"/>
          <w:szCs w:val="28"/>
        </w:rPr>
      </w:r>
    </w:p>
    <w:p>
      <w:pPr>
        <w:pStyle w:val="style17"/>
        <w:jc w:val="both"/>
      </w:pPr>
      <w:r>
        <w:rPr/>
      </w:r>
    </w:p>
    <w:p>
      <w:pPr>
        <w:pStyle w:val="style17"/>
        <w:jc w:val="both"/>
      </w:pPr>
      <w:r>
        <w:rPr/>
      </w:r>
    </w:p>
    <w:p>
      <w:pPr>
        <w:pStyle w:val="style17"/>
        <w:jc w:val="both"/>
      </w:pPr>
      <w:hyperlink r:id="rId2" w:tgtFrame="_blank">
        <w:r>
          <w:rPr>
            <w:rStyle w:val="style15"/>
            <w:sz w:val="28"/>
            <w:szCs w:val="28"/>
          </w:rPr>
          <w:t>Права и обязанности застрахованных лиц, защита прав застрахованных лиц</w:t>
        </w:r>
      </w:hyperlink>
      <w:r>
        <w:rPr>
          <w:sz w:val="28"/>
          <w:szCs w:val="28"/>
        </w:rPr>
        <w:t xml:space="preserve"> -РАЗДЕЛ ОМС-ДОКУМЕНТЫ</w:t>
      </w:r>
    </w:p>
    <w:p>
      <w:pPr>
        <w:pStyle w:val="style0"/>
      </w:pPr>
      <w:hyperlink r:id="rId3">
        <w:r>
          <w:rPr>
            <w:rStyle w:val="style15"/>
            <w:sz w:val="28"/>
            <w:szCs w:val="28"/>
          </w:rPr>
          <w:t>Приказ Минсоцздрава России от 26.04.2012 г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  </w:r>
      </w:hyperlink>
    </w:p>
    <w:p>
      <w:pPr>
        <w:pStyle w:val="style0"/>
      </w:pPr>
      <w:hyperlink r:id="rId4">
        <w:r>
          <w:rPr>
            <w:rStyle w:val="style15"/>
            <w:sz w:val="28"/>
            <w:szCs w:val="28"/>
          </w:rPr>
          <w:t>Приказ Минсоцздрава России от 23.04.2012 г № 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</w:t>
        </w:r>
      </w:hyperlink>
    </w:p>
    <w:p>
      <w:pPr>
        <w:pStyle w:val="style0"/>
      </w:pPr>
      <w:hyperlink r:id="rId5">
        <w:r>
          <w:rPr>
            <w:rStyle w:val="style15"/>
            <w:sz w:val="28"/>
            <w:szCs w:val="28"/>
          </w:rPr>
          <w:t xml:space="preserve">Приказ Минсоцздрава России от 20.12.2012 г № 1177н «Об утверждении порядка дачи </w:t>
        </w:r>
      </w:hyperlink>
      <w:hyperlink r:id="rId6">
        <w:r>
          <w:rPr>
            <w:rStyle w:val="style15"/>
            <w:sz w:val="28"/>
            <w:szCs w:val="28"/>
          </w:rPr>
          <w:t>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</w:t>
        </w:r>
      </w:hyperlink>
    </w:p>
    <w:p>
      <w:pPr>
        <w:pStyle w:val="style0"/>
      </w:pPr>
      <w:hyperlink r:id="rId7">
        <w:r>
          <w:rPr/>
        </w:r>
      </w:hyperlink>
    </w:p>
    <w:p>
      <w:pPr>
        <w:pStyle w:val="style17"/>
        <w:jc w:val="center"/>
      </w:pPr>
      <w:hyperlink r:id="rId8">
        <w:r>
          <w:rPr/>
        </w:r>
      </w:hyperlink>
    </w:p>
    <w:p>
      <w:pPr>
        <w:pStyle w:val="style17"/>
        <w:jc w:val="center"/>
      </w:pPr>
      <w:hyperlink r:id="rId9">
        <w:r>
          <w:rPr/>
        </w:r>
      </w:hyperlink>
    </w:p>
    <w:p>
      <w:pPr>
        <w:pStyle w:val="style17"/>
        <w:jc w:val="center"/>
      </w:pPr>
      <w:hyperlink r:id="rId10">
        <w:r>
          <w:rPr/>
        </w:r>
      </w:hyperlink>
    </w:p>
    <w:p>
      <w:pPr>
        <w:pStyle w:val="style17"/>
        <w:spacing w:after="120" w:before="0"/>
        <w:contextualSpacing w:val="false"/>
        <w:jc w:val="center"/>
      </w:pPr>
      <w:hyperlink r:id="rId11">
        <w:r>
          <w:rPr/>
        </w:r>
      </w:hyperlink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ru-RU"/>
    </w:rPr>
  </w:style>
  <w:style w:styleId="style1" w:type="paragraph">
    <w:name w:val="Заголовок 1"/>
    <w:basedOn w:val="style16"/>
    <w:next w:val="style17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Заголовок 2"/>
    <w:basedOn w:val="style16"/>
    <w:next w:val="style17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Заголовок 3"/>
    <w:basedOn w:val="style16"/>
    <w:next w:val="style17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vbgp.ru/data/documents/Prava-i-obyazannosti-zastrahovannyh-lic.doc" TargetMode="External"/><Relationship Id="rId3" Type="http://schemas.openxmlformats.org/officeDocument/2006/relationships/hyperlink" Target="http://svbgp.ru/informaciya/prava-i-obyazannosti-grazhdan/prikaz-minsoczdrava-rossii-ot-26-04-2012-g-no-406n-ob-utverzhdenii-poryadka-vybora-grazhdaninom-medicinskoy-organizacii-pri-okazanii-emu-medicinskoy-pomoshchi-v-ramkah-programmy-gosudarstvennyh-garantiy-besplatnogo-okazaniya-grazhdanam-medicinskoy-pomoshc/" TargetMode="External"/><Relationship Id="rId4" Type="http://schemas.openxmlformats.org/officeDocument/2006/relationships/hyperlink" Target="http://svbgp.ru/informaciya/prava-i-obyazannosti-grazhdan/prikaz-minsoczdrava-rossii-ot-23-04-2012-g-no-390n-ob-utverzhdenii-perechnya-opredelennyh-vidov-medicinskih-vmeshatelstv-na-kotorye-grazhdane-dayut-informirovannoe-dobrovolnoe-soglasie-pri-vybore-vracha-i-medicinskoy-organizacii-dlya-polucheniya-pervichno/" TargetMode="External"/><Relationship Id="rId5" Type="http://schemas.openxmlformats.org/officeDocument/2006/relationships/hyperlink" Target="http://svbgp.ru/informaciya/prava-i-obyazannosti-grazhdan/prikaz-ministerstva-zdravoohraneniya-rf-ot-20-dekabrya-2012-g-n-1177n-ob-utverzhdenii-poryadka-dachi-informirovannogo-dobrovolnogo-sogla-siya-na-medicinskoe-vmeshatelstvo-i-otkaza-ot-medicinskogo-vmeshatel-stva-v-otnoshenii-opredelennyh-vidov-medicinskih-/" TargetMode="External"/><Relationship Id="rId6" Type="http://schemas.openxmlformats.org/officeDocument/2006/relationships/hyperlink" Target="http://svbgp.ru/informaciya/prava-i-obyazannosti-grazhdan/prikaz-ministerstva-zdravoohraneniya-rf-ot-20-dekabrya-2012-g-n-1177n-ob-utverzhdenii-poryadka-dachi-informirovannogo-dobrovolnogo-sogla-siya-na-medicinskoe-vmeshatelstvo-i-otkaza-ot-medicinskogo-vmeshatel-stva-v-otnoshenii-opredelennyh-vidov-medicinskih-/" TargetMode="External"/><Relationship Id="rId7" Type="http://schemas.openxmlformats.org/officeDocument/2006/relationships/hyperlink" Target="http://svbgp.ru/data/documents/Prilozhenie-5-VMP.doc" TargetMode="External"/><Relationship Id="rId8" Type="http://schemas.openxmlformats.org/officeDocument/2006/relationships/hyperlink" Target="http://svbgp.ru/data/documents/Prilozhenie-5-VMP.doc" TargetMode="External"/><Relationship Id="rId9" Type="http://schemas.openxmlformats.org/officeDocument/2006/relationships/hyperlink" Target="http://svbgp.ru/data/documents/Prilozhenie-5-VMP.doc" TargetMode="External"/><Relationship Id="rId10" Type="http://schemas.openxmlformats.org/officeDocument/2006/relationships/hyperlink" Target="http://svbgp.ru/data/documents/Prilozhenie-5-VMP.doc" TargetMode="External"/><Relationship Id="rId11" Type="http://schemas.openxmlformats.org/officeDocument/2006/relationships/hyperlink" Target="http://svbgp.ru/data/documents/Prilozhenie-5-VMP.doc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2016-04-13T11:21:31.00Z</dcterms:created>
  <dcterms:modified xsi:type="dcterms:W3CDTF">2016-04-13T11:59:13.89Z</dcterms:modified>
  <cp:revision>2</cp:revision>
</cp:coreProperties>
</file>