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</w:pPr>
      <w:r>
        <w:rPr/>
      </w:r>
    </w:p>
    <w:p>
      <w:pPr>
        <w:pStyle w:val="style17"/>
        <w:jc w:val="center"/>
      </w:pPr>
      <w:r>
        <w:rPr/>
      </w:r>
    </w:p>
    <w:p>
      <w:pPr>
        <w:pStyle w:val="style17"/>
      </w:pPr>
      <w:r>
        <w:rPr/>
        <w:t xml:space="preserve">                                            </w:t>
      </w:r>
      <w:r>
        <w:rPr/>
        <w:t xml:space="preserve">Приказ </w:t>
      </w:r>
    </w:p>
    <w:p>
      <w:pPr>
        <w:pStyle w:val="style17"/>
      </w:pPr>
      <w:r>
        <w:rPr/>
        <w:t>Министерства здравоохранения и социального развития РФ от 23 апреля 2012 г. N 390н "Об утверждении Перечня определенных видов меди</w:t>
        <w:softHyphen/>
        <w:t>цинских вмешательств, на которые граждане дают информированное доб</w:t>
        <w:softHyphen/>
        <w:t>ровольное согласие при выборе врача и медицинской организации для по</w:t>
        <w:softHyphen/>
        <w:t>лучения первичной медико-санитарной помощи"</w:t>
      </w:r>
    </w:p>
    <w:p>
      <w:pPr>
        <w:pStyle w:val="style17"/>
      </w:pPr>
      <w:r>
        <w:rPr/>
        <w:t> </w:t>
      </w:r>
    </w:p>
    <w:p>
      <w:pPr>
        <w:pStyle w:val="style17"/>
      </w:pPr>
      <w:r>
        <w:rPr/>
        <w:t>В соответствии со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N48, ст. 6724) прика</w:t>
        <w:softHyphen/>
        <w:t>зываю:</w:t>
      </w:r>
    </w:p>
    <w:p>
      <w:pPr>
        <w:pStyle w:val="style17"/>
      </w:pPr>
      <w:r>
        <w:rPr/>
        <w:t>Утвердить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>
      <w:pPr>
        <w:pStyle w:val="style17"/>
      </w:pPr>
      <w:r>
        <w:rPr/>
        <w:t> </w:t>
      </w:r>
    </w:p>
    <w:p>
      <w:pPr>
        <w:pStyle w:val="style17"/>
      </w:pPr>
      <w:r>
        <w:rPr/>
        <w:t>Министр                                                                                                                                                   Т.А. Голикова</w:t>
      </w:r>
    </w:p>
    <w:p>
      <w:pPr>
        <w:pStyle w:val="style17"/>
      </w:pPr>
      <w:r>
        <w:rPr/>
        <w:t>Зарегистрировано в Минюсте РФ 5 мая 2012 г. Регистрационный N 24082</w:t>
      </w:r>
    </w:p>
    <w:p>
      <w:pPr>
        <w:pStyle w:val="style21"/>
      </w:pPr>
      <w:r>
        <w:rPr/>
      </w:r>
    </w:p>
    <w:p>
      <w:pPr>
        <w:pStyle w:val="style17"/>
        <w:jc w:val="right"/>
      </w:pPr>
      <w:r>
        <w:rPr/>
        <w:t>Приложение</w:t>
      </w:r>
    </w:p>
    <w:p>
      <w:pPr>
        <w:pStyle w:val="style17"/>
        <w:jc w:val="center"/>
      </w:pPr>
      <w:r>
        <w:rPr/>
        <w:t> </w:t>
      </w:r>
    </w:p>
    <w:p>
      <w:pPr>
        <w:pStyle w:val="style17"/>
        <w:jc w:val="center"/>
      </w:pPr>
      <w:r>
        <w:rPr/>
        <w:t>Перечень</w:t>
      </w:r>
    </w:p>
    <w:p>
      <w:pPr>
        <w:pStyle w:val="style17"/>
      </w:pPr>
      <w:r>
        <w:rP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>
      <w:pPr>
        <w:pStyle w:val="style17"/>
        <w:numPr>
          <w:ilvl w:val="0"/>
          <w:numId w:val="1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Опрос, в том числе выявление жалоб, сбор анамнеза. </w:t>
      </w:r>
    </w:p>
    <w:p>
      <w:pPr>
        <w:pStyle w:val="style17"/>
        <w:numPr>
          <w:ilvl w:val="0"/>
          <w:numId w:val="1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>Осмотр, в том числе пальпация, перкуссия, аускультация, риноскопия, фарингоскопия, непрямая ларингоскопия, вагинальное исследование (для жен</w:t>
        <w:softHyphen/>
        <w:t>щин), ректальное исследование.</w:t>
      </w:r>
    </w:p>
    <w:p>
      <w:pPr>
        <w:pStyle w:val="style17"/>
        <w:numPr>
          <w:ilvl w:val="1"/>
          <w:numId w:val="1"/>
        </w:numPr>
        <w:tabs>
          <w:tab w:leader="none" w:pos="1414" w:val="left"/>
        </w:tabs>
        <w:spacing w:after="0" w:before="0"/>
        <w:ind w:hanging="283" w:left="1414" w:right="0"/>
        <w:contextualSpacing w:val="false"/>
      </w:pPr>
      <w:r>
        <w:rPr/>
        <w:t xml:space="preserve">Антропометрические исследования. </w:t>
      </w:r>
    </w:p>
    <w:p>
      <w:pPr>
        <w:pStyle w:val="style17"/>
        <w:numPr>
          <w:ilvl w:val="1"/>
          <w:numId w:val="1"/>
        </w:numPr>
        <w:tabs>
          <w:tab w:leader="none" w:pos="1414" w:val="left"/>
        </w:tabs>
        <w:spacing w:after="0" w:before="0"/>
        <w:ind w:hanging="283" w:left="1414" w:right="0"/>
        <w:contextualSpacing w:val="false"/>
      </w:pPr>
      <w:r>
        <w:rPr/>
        <w:t xml:space="preserve">Термометрия. </w:t>
      </w:r>
    </w:p>
    <w:p>
      <w:pPr>
        <w:pStyle w:val="style17"/>
        <w:numPr>
          <w:ilvl w:val="1"/>
          <w:numId w:val="1"/>
        </w:numPr>
        <w:tabs>
          <w:tab w:leader="none" w:pos="1414" w:val="left"/>
        </w:tabs>
        <w:spacing w:after="0" w:before="0"/>
        <w:ind w:hanging="283" w:left="1414" w:right="0"/>
        <w:contextualSpacing w:val="false"/>
      </w:pPr>
      <w:r>
        <w:rPr/>
        <w:t xml:space="preserve">Тонометрия. </w:t>
      </w:r>
    </w:p>
    <w:p>
      <w:pPr>
        <w:pStyle w:val="style17"/>
        <w:numPr>
          <w:ilvl w:val="1"/>
          <w:numId w:val="1"/>
        </w:numPr>
        <w:tabs>
          <w:tab w:leader="none" w:pos="1414" w:val="left"/>
        </w:tabs>
        <w:spacing w:after="0" w:before="0"/>
        <w:ind w:hanging="283" w:left="1414" w:right="0"/>
        <w:contextualSpacing w:val="false"/>
      </w:pPr>
      <w:r>
        <w:rPr/>
        <w:t xml:space="preserve">Неинвазивные исследования органа зрения и зрительных функций. </w:t>
      </w:r>
    </w:p>
    <w:p>
      <w:pPr>
        <w:pStyle w:val="style17"/>
        <w:numPr>
          <w:ilvl w:val="1"/>
          <w:numId w:val="1"/>
        </w:numPr>
        <w:tabs>
          <w:tab w:leader="none" w:pos="1414" w:val="left"/>
        </w:tabs>
        <w:spacing w:after="0" w:before="0"/>
        <w:ind w:hanging="283" w:left="1414" w:right="0"/>
        <w:contextualSpacing w:val="false"/>
      </w:pPr>
      <w:r>
        <w:rPr/>
        <w:t xml:space="preserve">Неинвазивные исследования органа слуха и слуховых функций. </w:t>
      </w:r>
    </w:p>
    <w:p>
      <w:pPr>
        <w:pStyle w:val="style17"/>
        <w:numPr>
          <w:ilvl w:val="1"/>
          <w:numId w:val="1"/>
        </w:numPr>
        <w:tabs>
          <w:tab w:leader="none" w:pos="1414" w:val="left"/>
        </w:tabs>
        <w:spacing w:after="0" w:before="0"/>
        <w:ind w:hanging="283" w:left="1414" w:right="0"/>
        <w:contextualSpacing w:val="false"/>
      </w:pPr>
      <w:r>
        <w:rPr/>
        <w:t xml:space="preserve">Исследование функций нервной системы (чувствительной и двигательной сферы). </w:t>
      </w:r>
    </w:p>
    <w:p>
      <w:pPr>
        <w:pStyle w:val="style17"/>
        <w:numPr>
          <w:ilvl w:val="1"/>
          <w:numId w:val="1"/>
        </w:numPr>
        <w:tabs>
          <w:tab w:leader="none" w:pos="1414" w:val="left"/>
        </w:tabs>
        <w:ind w:hanging="283" w:left="1414" w:right="0"/>
      </w:pPr>
      <w:r>
        <w:rPr/>
        <w:t>Лабораторные методы обследования, в том числе клинические, биохими</w:t>
        <w:softHyphen/>
        <w:t xml:space="preserve">ческие, бактериологические, вирусологические, иммунологические. </w:t>
      </w:r>
    </w:p>
    <w:p>
      <w:pPr>
        <w:pStyle w:val="style17"/>
      </w:pPr>
      <w:r>
        <w:rPr/>
        <w:t> </w:t>
      </w:r>
    </w:p>
    <w:p>
      <w:pPr>
        <w:pStyle w:val="style17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>Функциональные методы обследования, в том числе электрокардиога-фия, суточное мониторирование артериального давления, суточное мониториро-вание электрокардиограммы, спирография, пневмотахометрия, пикфлуометрия, рэоэнцефалография, электроэнцефалография, кардиотокография (для беремен</w:t>
        <w:softHyphen/>
        <w:t xml:space="preserve">ных). </w:t>
      </w:r>
    </w:p>
    <w:p>
      <w:pPr>
        <w:pStyle w:val="style17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до-пплерографические исследования. </w:t>
      </w:r>
    </w:p>
    <w:p>
      <w:pPr>
        <w:pStyle w:val="style17"/>
        <w:numPr>
          <w:ilvl w:val="0"/>
          <w:numId w:val="2"/>
        </w:numPr>
        <w:tabs>
          <w:tab w:leader="none" w:pos="707" w:val="left"/>
        </w:tabs>
        <w:spacing w:after="0" w:before="0"/>
        <w:ind w:hanging="283" w:left="707" w:right="0"/>
        <w:contextualSpacing w:val="false"/>
      </w:pPr>
      <w:r>
        <w:rPr/>
        <w:t>Введение лекарственных препаратов по назначению врача, в том числе внутримышечно, внутривенно, подкожно, внутрикожно.</w:t>
      </w:r>
    </w:p>
    <w:p>
      <w:pPr>
        <w:pStyle w:val="style17"/>
        <w:numPr>
          <w:ilvl w:val="1"/>
          <w:numId w:val="2"/>
        </w:numPr>
        <w:tabs>
          <w:tab w:leader="none" w:pos="1414" w:val="left"/>
        </w:tabs>
        <w:spacing w:after="0" w:before="0"/>
        <w:ind w:hanging="283" w:left="1414" w:right="0"/>
        <w:contextualSpacing w:val="false"/>
      </w:pPr>
      <w:r>
        <w:rPr/>
        <w:t xml:space="preserve">Медицинский массаж. </w:t>
      </w:r>
    </w:p>
    <w:p>
      <w:pPr>
        <w:pStyle w:val="style17"/>
        <w:numPr>
          <w:ilvl w:val="1"/>
          <w:numId w:val="2"/>
        </w:numPr>
        <w:tabs>
          <w:tab w:leader="none" w:pos="1414" w:val="left"/>
        </w:tabs>
        <w:ind w:hanging="283" w:left="1414" w:right="0"/>
      </w:pPr>
      <w:r>
        <w:rPr/>
        <w:t xml:space="preserve">Лечебная физкультура.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5" w:type="character">
    <w:name w:val="Символ нумерации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Горизонтальная линия"/>
    <w:basedOn w:val="style0"/>
    <w:next w:val="style17"/>
    <w:pPr>
      <w:suppressLineNumbers/>
      <w:pBdr>
        <w:top w:val="none"/>
        <w:left w:val="none"/>
        <w:bottom w:color="808080" w:space="0" w:sz="2" w:val="double"/>
        <w:insideH w:color="808080" w:space="0" w:sz="2" w:val="double"/>
        <w:right w:val="none"/>
        <w:insideV w:val="none"/>
      </w:pBdr>
      <w:spacing w:after="283" w:before="0"/>
      <w:contextualSpacing w:val="false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2017-02-10T10:02:58.29Z</dcterms:created>
  <cp:revision>0</cp:revision>
</cp:coreProperties>
</file>