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0" w:rsidRDefault="001C21A0">
      <w:pPr>
        <w:pStyle w:val="a5"/>
      </w:pPr>
    </w:p>
    <w:p w:rsidR="001C21A0" w:rsidRDefault="001C21A0">
      <w:pPr>
        <w:pStyle w:val="a5"/>
      </w:pPr>
    </w:p>
    <w:p w:rsidR="001C21A0" w:rsidRPr="005729FF" w:rsidRDefault="005729FF">
      <w:pPr>
        <w:pStyle w:val="1"/>
        <w:rPr>
          <w:rFonts w:cs="Times New Roman"/>
          <w:i/>
          <w:sz w:val="28"/>
          <w:szCs w:val="28"/>
        </w:rPr>
      </w:pPr>
      <w:r w:rsidRPr="005729FF">
        <w:rPr>
          <w:rStyle w:val="a6"/>
          <w:rFonts w:cs="Times New Roman"/>
          <w:i w:val="0"/>
          <w:sz w:val="28"/>
          <w:szCs w:val="28"/>
        </w:rPr>
        <w:t>Государственная программа Российской Федерации «Доступная среда» на 2011-2020 годы</w:t>
      </w:r>
    </w:p>
    <w:p w:rsidR="001C21A0" w:rsidRDefault="001C21A0">
      <w:pPr>
        <w:pStyle w:val="a1"/>
      </w:pPr>
    </w:p>
    <w:p w:rsidR="001C21A0" w:rsidRDefault="005729FF">
      <w:pPr>
        <w:pStyle w:val="a1"/>
      </w:pPr>
      <w:r>
        <w:rPr>
          <w:rStyle w:val="a7"/>
        </w:rPr>
        <w:t xml:space="preserve">ПАСПОРТ </w:t>
      </w:r>
      <w:r>
        <w:rPr>
          <w:rStyle w:val="a7"/>
        </w:rPr>
        <w:br/>
        <w:t xml:space="preserve">государственной программы Российской Федерации </w:t>
      </w:r>
      <w:r>
        <w:rPr>
          <w:rStyle w:val="a7"/>
        </w:rPr>
        <w:br/>
        <w:t xml:space="preserve">«Доступная среда» на 2011-2020 годы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6"/>
        <w:gridCol w:w="7492"/>
      </w:tblGrid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t xml:space="preserve">Ответственный исполнитель 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t xml:space="preserve">Министерство труда и социальной защиты Российской Федерации </w:t>
            </w:r>
          </w:p>
        </w:tc>
      </w:tr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t xml:space="preserve">Участники 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</w:pPr>
            <w:proofErr w:type="gramStart"/>
            <w:r>
              <w:t>Министерство связи и массовых коммуникаций Российской Федерации,</w:t>
            </w:r>
            <w:r>
              <w:br/>
              <w:t>Федеральное агентство по печати и массовым коммуникациям,</w:t>
            </w:r>
            <w:r>
              <w:br/>
              <w:t>Федеральное медико-биологическое агентство,</w:t>
            </w:r>
            <w:r>
              <w:br/>
              <w:t>Фонд с</w:t>
            </w:r>
            <w:r>
              <w:t>оциального страхования Российской Федерации,</w:t>
            </w:r>
            <w:r>
              <w:br/>
              <w:t>Министерство образования и науки Российской Федерации,</w:t>
            </w:r>
            <w:r>
              <w:br/>
              <w:t>Министерство строительства и жилищно-коммунального хозяйства Российской Федерации,</w:t>
            </w:r>
            <w:r>
              <w:br/>
              <w:t>Министерство промышленности и торговли Российской Федерации,</w:t>
            </w:r>
            <w:r>
              <w:br/>
              <w:t>Министерство</w:t>
            </w:r>
            <w:r>
              <w:t xml:space="preserve"> транспорта Российской Федерации,</w:t>
            </w:r>
            <w:r>
              <w:br/>
              <w:t>Министерство финансов Российской Федерации,</w:t>
            </w:r>
            <w:r>
              <w:br/>
              <w:t>Министерство спорта Российской Федерации,</w:t>
            </w:r>
            <w:r>
              <w:br/>
              <w:t>Министерство культуры Российской Федерации,</w:t>
            </w:r>
            <w:r>
              <w:br/>
              <w:t>Пенсионный фонд Российской</w:t>
            </w:r>
            <w:proofErr w:type="gramEnd"/>
            <w:r>
              <w:t xml:space="preserve"> Федерации,</w:t>
            </w:r>
            <w:r>
              <w:br/>
              <w:t xml:space="preserve">Федеральное агентство по техническому регулированию и </w:t>
            </w:r>
            <w:r>
              <w:t xml:space="preserve">метрологии </w:t>
            </w:r>
          </w:p>
        </w:tc>
      </w:tr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t xml:space="preserve">Подпрограммы 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</w:pPr>
            <w:r>
              <w:t xml:space="preserve">подпрограмма 1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населения»;</w:t>
            </w:r>
            <w:r>
              <w:br/>
              <w:t>подпрограмма 2 «Совершенствование системы комплекс</w:t>
            </w:r>
            <w:r>
              <w:t xml:space="preserve">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инвалидов»;</w:t>
            </w:r>
            <w:r>
              <w:br/>
              <w:t xml:space="preserve">подпрограмма 3 «Совершенствование государственной системы медико-социальной экспертизы» </w:t>
            </w:r>
          </w:p>
        </w:tc>
      </w:tr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</w:pPr>
            <w:r>
              <w:t xml:space="preserve">Цели 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</w:pPr>
            <w:r>
              <w:t>создание правовых, экономических и институциональных условий, способствующих интеграции инвалидов в общество</w:t>
            </w:r>
            <w:r>
              <w:t xml:space="preserve"> и повышению уровня их жизни </w:t>
            </w:r>
          </w:p>
        </w:tc>
      </w:tr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</w:pPr>
            <w:r>
              <w:t xml:space="preserve">Задачи 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</w:pPr>
            <w: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населения;</w:t>
            </w:r>
            <w:r>
              <w:br/>
              <w:t>обеспечение равного доступа инвалидов к реаби</w:t>
            </w:r>
            <w:r>
              <w:t xml:space="preserve">литационным и </w:t>
            </w:r>
            <w:proofErr w:type="spellStart"/>
            <w:r>
              <w:t>абилитационным</w:t>
            </w:r>
            <w:proofErr w:type="spellEnd"/>
            <w:r>
              <w:t xml:space="preserve"> услугам, включая обеспечение равного доступа к </w:t>
            </w:r>
            <w:r>
              <w:lastRenderedPageBreak/>
              <w:t>профессиональному развитию и трудоустройству;</w:t>
            </w:r>
            <w:r>
              <w:br/>
              <w:t xml:space="preserve">обеспечение объективности и прозрачности деятельности учреждений медико-социальной экспертизы </w:t>
            </w:r>
          </w:p>
        </w:tc>
      </w:tr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lastRenderedPageBreak/>
              <w:t xml:space="preserve">Целевые показатели и индикаторы 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</w:pPr>
            <w:r>
              <w:t xml:space="preserve">показатель 1 «Доля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объектов»;</w:t>
            </w:r>
            <w:r>
              <w:br/>
              <w:t>показатель 2 «</w:t>
            </w: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инвалидов»;</w:t>
            </w:r>
            <w:r>
              <w:br/>
            </w:r>
            <w:proofErr w:type="gramStart"/>
            <w:r>
              <w:t xml:space="preserve">показатель 3 «Доля субъектов Российской Федерации, сформировавших систему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</w:t>
            </w:r>
            <w:r>
              <w:t>числе детей-инвалидов, соответствующую типовой программе субъекта Российской Федерации, в общем количестве субъектов Российской Федерации»;</w:t>
            </w:r>
            <w:r>
              <w:br/>
              <w:t xml:space="preserve">показатель 4 «Доля специалистов, обеспечивающих реабилитацию и </w:t>
            </w:r>
            <w:proofErr w:type="spellStart"/>
            <w:r>
              <w:t>абилитацию</w:t>
            </w:r>
            <w:proofErr w:type="spellEnd"/>
            <w:r>
              <w:t xml:space="preserve"> инвалидов, в том числе детей-инвалидов, пр</w:t>
            </w:r>
            <w:r>
              <w:t xml:space="preserve">ошедших обучение по реабилитационным и </w:t>
            </w:r>
            <w:proofErr w:type="spellStart"/>
            <w:r>
              <w:t>абилитационным</w:t>
            </w:r>
            <w:proofErr w:type="spellEnd"/>
            <w:r>
              <w:t xml:space="preserve"> методикам, в общем количестве таких специалистов»;</w:t>
            </w:r>
            <w:proofErr w:type="gramEnd"/>
            <w:r>
              <w:br/>
              <w:t xml:space="preserve">показатель 5 «Доля инвалидов, получивших мероприятия по реабилитации и (или) </w:t>
            </w:r>
            <w:proofErr w:type="spellStart"/>
            <w:r>
              <w:t>абилитации</w:t>
            </w:r>
            <w:proofErr w:type="spellEnd"/>
            <w:r>
              <w:t>, в общей численности инвалидов, имеющих такие рекомендации в ин</w:t>
            </w:r>
            <w:r>
              <w:t xml:space="preserve">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(взрослые)»;</w:t>
            </w:r>
            <w:r>
              <w:br/>
              <w:t xml:space="preserve">показатель 6 «Доля инвалидов, получивших мероприятия по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>
              <w:t>аб</w:t>
            </w:r>
            <w:r>
              <w:t>илитации</w:t>
            </w:r>
            <w:proofErr w:type="spellEnd"/>
            <w:r>
              <w:t xml:space="preserve"> (дети)»;</w:t>
            </w:r>
            <w:r>
              <w:br/>
              <w:t>показатель 7 «Доля занятых инвалидов трудоспособного возраста в общей численности инвалидов трудоспособного возраста в Российской Федерации»;</w:t>
            </w:r>
            <w:r>
              <w:br/>
              <w:t xml:space="preserve">показатель 8 «Доля главных бюро медико-социальной экспертизы по субъектам Российской Федерации, </w:t>
            </w:r>
            <w:r>
              <w:t xml:space="preserve">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Федерации» </w:t>
            </w:r>
          </w:p>
        </w:tc>
      </w:tr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t xml:space="preserve">Этапы и сроки реализации 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t xml:space="preserve">2011 - 2020 годы, в том числе: </w:t>
            </w:r>
          </w:p>
          <w:p w:rsidR="001C21A0" w:rsidRDefault="005729FF">
            <w:pPr>
              <w:pStyle w:val="ab"/>
            </w:pPr>
            <w:r>
              <w:t>I этап: 2011 - 2012 годы;</w:t>
            </w:r>
            <w:r>
              <w:br/>
              <w:t>II этап: 2</w:t>
            </w:r>
            <w:r>
              <w:t>013 - 2015 годы;</w:t>
            </w:r>
            <w:r>
              <w:br/>
              <w:t>III этап: 2016 - 2018 годы;</w:t>
            </w:r>
            <w:r>
              <w:br/>
              <w:t xml:space="preserve">IV этап: 2019 - 2020 годы </w:t>
            </w:r>
          </w:p>
        </w:tc>
      </w:tr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t xml:space="preserve">Объемы бюджетных ассигнований 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  <w:spacing w:after="283"/>
            </w:pPr>
            <w:r>
              <w:t>общий объем бюджетных ассигнований федерального бюджета и бюджетов государственных внебюджетных фондов составляет 424553039,1 тыс. рублей, в т</w:t>
            </w:r>
            <w:r>
              <w:t xml:space="preserve">ом числе: </w:t>
            </w:r>
          </w:p>
          <w:p w:rsidR="001C21A0" w:rsidRDefault="005729FF">
            <w:pPr>
              <w:pStyle w:val="ab"/>
              <w:spacing w:after="283"/>
            </w:pPr>
            <w:proofErr w:type="gramStart"/>
            <w:r>
              <w:lastRenderedPageBreak/>
              <w:t>на 2011 год - 33003378 тыс. рублей;</w:t>
            </w:r>
            <w:r>
              <w:br/>
              <w:t>на 2012 год - 30025336,3 тыс. рублей;</w:t>
            </w:r>
            <w:r>
              <w:br/>
              <w:t>на 2013 год - 33331917,2 тыс. рублей;</w:t>
            </w:r>
            <w:r>
              <w:br/>
              <w:t>на 2014 год - 35083535,3 тыс. рублей;</w:t>
            </w:r>
            <w:r>
              <w:br/>
              <w:t>на 2015 год - 37977668,7 тыс. рублей;</w:t>
            </w:r>
            <w:r>
              <w:br/>
              <w:t>на 2016 год &lt;*&gt; - 47935211,5 тыс. рублей;</w:t>
            </w:r>
            <w:r>
              <w:br/>
              <w:t>на 2017 год - 5</w:t>
            </w:r>
            <w:r>
              <w:t>2919205,8 тыс. рублей;</w:t>
            </w:r>
            <w:r>
              <w:br/>
              <w:t>на 2018 год - 51928444,1 тыс. рублей;</w:t>
            </w:r>
            <w:r>
              <w:br/>
              <w:t>на 2019 год - 51208344,1 тыс. рублей;</w:t>
            </w:r>
            <w:proofErr w:type="gramEnd"/>
            <w:r>
              <w:br/>
              <w:t xml:space="preserve">на 2020 год - 51139998,1 тыс. рублей, </w:t>
            </w:r>
          </w:p>
          <w:p w:rsidR="001C21A0" w:rsidRDefault="001C21A0">
            <w:pPr>
              <w:pStyle w:val="ab"/>
              <w:spacing w:after="283"/>
            </w:pPr>
          </w:p>
          <w:p w:rsidR="001C21A0" w:rsidRDefault="005729FF">
            <w:pPr>
              <w:pStyle w:val="ab"/>
              <w:spacing w:after="283"/>
            </w:pPr>
            <w:r>
              <w:t xml:space="preserve">из них: </w:t>
            </w:r>
          </w:p>
          <w:p w:rsidR="001C21A0" w:rsidRDefault="005729FF">
            <w:pPr>
              <w:pStyle w:val="ab"/>
              <w:spacing w:after="283"/>
            </w:pPr>
            <w:r>
              <w:t xml:space="preserve">объем бюджетных ассигнований федерального бюджета составляет 424553039,1 тыс. рублей, в том числе: </w:t>
            </w:r>
          </w:p>
          <w:p w:rsidR="001C21A0" w:rsidRDefault="005729FF">
            <w:pPr>
              <w:pStyle w:val="ab"/>
              <w:spacing w:after="283"/>
            </w:pPr>
            <w:proofErr w:type="gramStart"/>
            <w:r>
              <w:t xml:space="preserve">на 2011 </w:t>
            </w:r>
            <w:r>
              <w:t>год - 33003378 тыс. рублей;</w:t>
            </w:r>
            <w:r>
              <w:br/>
              <w:t>на 2012 год - 30025336,3 тыс. рублей;</w:t>
            </w:r>
            <w:r>
              <w:br/>
              <w:t>на 2013 год - 33331917,2 тыс. рублей;</w:t>
            </w:r>
            <w:r>
              <w:br/>
              <w:t>на 2014 год - 35083535,3 тыс. рублей;</w:t>
            </w:r>
            <w:r>
              <w:br/>
              <w:t>на 2015 год - 37977668,7 тыс. рублей;</w:t>
            </w:r>
            <w:r>
              <w:br/>
              <w:t>на 2016 год &lt;*&gt; - 47935211,5 тыс. рублей;</w:t>
            </w:r>
            <w:r>
              <w:br/>
              <w:t>на 2017 год - 52919205,8 тыс. рубл</w:t>
            </w:r>
            <w:r>
              <w:t>ей;</w:t>
            </w:r>
            <w:r>
              <w:br/>
              <w:t>на 2018 год - 51928444,1 тыс. рублей;</w:t>
            </w:r>
            <w:r>
              <w:br/>
              <w:t>на 2019 год - 51208344,1 тыс. рублей;</w:t>
            </w:r>
            <w:proofErr w:type="gramEnd"/>
            <w:r>
              <w:br/>
              <w:t xml:space="preserve">на 2020 год - 51139998,1 тыс. рублей, </w:t>
            </w:r>
          </w:p>
          <w:p w:rsidR="001C21A0" w:rsidRDefault="001C21A0">
            <w:pPr>
              <w:pStyle w:val="ab"/>
              <w:spacing w:after="283"/>
            </w:pPr>
          </w:p>
          <w:p w:rsidR="001C21A0" w:rsidRDefault="005729FF">
            <w:pPr>
              <w:pStyle w:val="ab"/>
              <w:spacing w:after="283"/>
            </w:pPr>
            <w:r>
              <w:t xml:space="preserve">объем бюджетных ассигнований бюджетов государственных внебюджетных фондов составляет 135449946,9 тыс. рублей, в том числе: </w:t>
            </w:r>
          </w:p>
          <w:p w:rsidR="001C21A0" w:rsidRDefault="005729FF">
            <w:pPr>
              <w:pStyle w:val="ab"/>
            </w:pPr>
            <w:proofErr w:type="gramStart"/>
            <w:r>
              <w:t xml:space="preserve">на 2014 год </w:t>
            </w:r>
            <w:r>
              <w:t>- 8999525,8 тыс. рублей;</w:t>
            </w:r>
            <w:r>
              <w:br/>
              <w:t>на 2015 год - 11082759,1 тыс. рублей;</w:t>
            </w:r>
            <w:r>
              <w:br/>
              <w:t>на 2016 год - 23073532,4 тыс. рублей;</w:t>
            </w:r>
            <w:r>
              <w:br/>
              <w:t>на 2017 год - 23073532,4 тыс. рублей;</w:t>
            </w:r>
            <w:r>
              <w:br/>
              <w:t>на 2018 год - 23073532,4 тыс. рублей;</w:t>
            </w:r>
            <w:r>
              <w:br/>
              <w:t>на 2019 год - 23073532,4 тыс. рублей;</w:t>
            </w:r>
            <w:r>
              <w:br/>
              <w:t xml:space="preserve">на 2020 год - 23073532,4 тыс. рублей </w:t>
            </w:r>
            <w:proofErr w:type="gramEnd"/>
          </w:p>
        </w:tc>
      </w:tr>
      <w:tr w:rsidR="001C21A0">
        <w:tc>
          <w:tcPr>
            <w:tcW w:w="2146" w:type="dxa"/>
            <w:shd w:val="clear" w:color="auto" w:fill="auto"/>
          </w:tcPr>
          <w:p w:rsidR="001C21A0" w:rsidRDefault="005729FF">
            <w:pPr>
              <w:pStyle w:val="ab"/>
            </w:pPr>
            <w:r>
              <w:lastRenderedPageBreak/>
              <w:t>Ож</w:t>
            </w:r>
            <w:r>
              <w:t xml:space="preserve">идаемые результаты реализации </w:t>
            </w:r>
            <w:r>
              <w:lastRenderedPageBreak/>
              <w:t xml:space="preserve">Программы </w:t>
            </w:r>
          </w:p>
        </w:tc>
        <w:tc>
          <w:tcPr>
            <w:tcW w:w="7492" w:type="dxa"/>
            <w:shd w:val="clear" w:color="auto" w:fill="auto"/>
          </w:tcPr>
          <w:p w:rsidR="001C21A0" w:rsidRDefault="005729FF">
            <w:pPr>
              <w:pStyle w:val="ab"/>
            </w:pPr>
            <w:r>
              <w:lastRenderedPageBreak/>
              <w:t xml:space="preserve">увеличение доли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(до 68,2 процента к </w:t>
            </w:r>
            <w:r>
              <w:t>2020 году);</w:t>
            </w:r>
            <w:r>
              <w:br/>
            </w:r>
            <w:r>
              <w:lastRenderedPageBreak/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(до 52,5 процента к 2020 году);</w:t>
            </w:r>
            <w:r>
              <w:br/>
              <w:t>увеличение доли субъектов Российской Федерации, сформировавших систему компл</w:t>
            </w:r>
            <w:r>
              <w:t xml:space="preserve">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(до 44,7 процента к 2020 году);</w:t>
            </w:r>
            <w:r>
              <w:br/>
              <w:t>увеличение доли специалистов, обеспе</w:t>
            </w:r>
            <w:r>
              <w:t xml:space="preserve">чивающих реабилитацию и </w:t>
            </w:r>
            <w:proofErr w:type="spellStart"/>
            <w:r>
              <w:t>абилитацию</w:t>
            </w:r>
            <w:proofErr w:type="spellEnd"/>
            <w:r>
              <w:t xml:space="preserve"> инвалидов, в том числе детей-инвалидов, прошедших обучение по реабилитационным и </w:t>
            </w:r>
            <w:proofErr w:type="spellStart"/>
            <w:r>
              <w:t>абилитационным</w:t>
            </w:r>
            <w:proofErr w:type="spellEnd"/>
            <w:r>
              <w:t xml:space="preserve"> методикам, в общем количестве таких специалистов (до 90 процентов к 2020 году);</w:t>
            </w:r>
            <w:r>
              <w:br/>
              <w:t>увеличение доли инвалидов, получивших меропри</w:t>
            </w:r>
            <w:r>
              <w:t xml:space="preserve">ятия по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(взрослые) (до 46,5 процента к 2020 году);</w:t>
            </w:r>
            <w:r>
              <w:br/>
            </w:r>
            <w:proofErr w:type="gramStart"/>
            <w:r>
              <w:t>увеличение доли инвалидов, получивших мероприятия по реабил</w:t>
            </w:r>
            <w:r>
              <w:t xml:space="preserve">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(дети) (до 57 процентов к 2020 году);</w:t>
            </w:r>
            <w:r>
              <w:br/>
              <w:t xml:space="preserve">увеличение доли занятых инвалидов трудоспособного возраста в общей численности </w:t>
            </w:r>
            <w:r>
              <w:t>инвалидов трудоспособного возраста в Российской Федерации (до 40 процентов к 2020 году);</w:t>
            </w:r>
            <w:proofErr w:type="gramEnd"/>
            <w:r>
              <w:br/>
              <w:t>увеличение доли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</w:t>
            </w:r>
            <w:r>
              <w:t xml:space="preserve">лавных бюро медико-социальной экспертизы по субъектам Российской Федерации (до 100 процентов к 2016 году) </w:t>
            </w:r>
          </w:p>
        </w:tc>
      </w:tr>
    </w:tbl>
    <w:p w:rsidR="001C21A0" w:rsidRDefault="001C21A0">
      <w:pPr>
        <w:pStyle w:val="a5"/>
      </w:pPr>
    </w:p>
    <w:sectPr w:rsidR="001C21A0" w:rsidSect="001C21A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C21A0"/>
    <w:rsid w:val="001C21A0"/>
    <w:rsid w:val="0057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C21A0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1C21A0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styleId="a6">
    <w:name w:val="Emphasis"/>
    <w:rsid w:val="001C21A0"/>
    <w:rPr>
      <w:i/>
      <w:iCs/>
    </w:rPr>
  </w:style>
  <w:style w:type="character" w:customStyle="1" w:styleId="a7">
    <w:name w:val="Выделение жирным"/>
    <w:rsid w:val="001C21A0"/>
    <w:rPr>
      <w:b/>
      <w:bCs/>
    </w:rPr>
  </w:style>
  <w:style w:type="paragraph" w:customStyle="1" w:styleId="a0">
    <w:name w:val="Заголовок"/>
    <w:basedOn w:val="a5"/>
    <w:next w:val="a1"/>
    <w:rsid w:val="001C21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1C21A0"/>
    <w:pPr>
      <w:spacing w:after="120"/>
    </w:pPr>
  </w:style>
  <w:style w:type="paragraph" w:styleId="a8">
    <w:name w:val="List"/>
    <w:basedOn w:val="a1"/>
    <w:rsid w:val="001C21A0"/>
  </w:style>
  <w:style w:type="paragraph" w:styleId="a9">
    <w:name w:val="Title"/>
    <w:basedOn w:val="a5"/>
    <w:rsid w:val="001C21A0"/>
    <w:pPr>
      <w:suppressLineNumbers/>
      <w:spacing w:before="120" w:after="120"/>
    </w:pPr>
    <w:rPr>
      <w:i/>
      <w:iCs/>
    </w:rPr>
  </w:style>
  <w:style w:type="paragraph" w:styleId="aa">
    <w:name w:val="index heading"/>
    <w:basedOn w:val="a5"/>
    <w:rsid w:val="001C21A0"/>
    <w:pPr>
      <w:suppressLineNumbers/>
    </w:pPr>
  </w:style>
  <w:style w:type="paragraph" w:customStyle="1" w:styleId="ab">
    <w:name w:val="Содержимое таблицы"/>
    <w:basedOn w:val="a5"/>
    <w:rsid w:val="001C21A0"/>
    <w:pPr>
      <w:suppressLineNumbers/>
    </w:pPr>
  </w:style>
  <w:style w:type="paragraph" w:customStyle="1" w:styleId="ac">
    <w:name w:val="Заголовок таблицы"/>
    <w:basedOn w:val="ab"/>
    <w:rsid w:val="001C21A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1</cp:revision>
  <dcterms:created xsi:type="dcterms:W3CDTF">2018-05-18T14:14:00Z</dcterms:created>
  <dcterms:modified xsi:type="dcterms:W3CDTF">2018-05-18T06:09:00Z</dcterms:modified>
</cp:coreProperties>
</file>